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EB04" w14:textId="77777777" w:rsidR="00E34851" w:rsidRDefault="00E34851"/>
    <w:p w14:paraId="4D6E092F" w14:textId="77777777" w:rsidR="00B319FC" w:rsidRPr="00F2328A" w:rsidRDefault="00B319FC" w:rsidP="00B319FC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F2328A">
        <w:rPr>
          <w:rFonts w:ascii="Century Gothic" w:hAnsi="Century Gothic"/>
          <w:b/>
          <w:bCs/>
          <w:i/>
        </w:rPr>
        <w:t>Twelve Angry Men:</w:t>
      </w:r>
      <w:r w:rsidRPr="00F2328A">
        <w:rPr>
          <w:rFonts w:ascii="Century Gothic" w:hAnsi="Century Gothic"/>
          <w:b/>
          <w:bCs/>
        </w:rPr>
        <w:t xml:space="preserve"> Act III</w:t>
      </w:r>
    </w:p>
    <w:p w14:paraId="11631EAD" w14:textId="77777777" w:rsidR="00B319FC" w:rsidRPr="00F2328A" w:rsidRDefault="00B319FC" w:rsidP="00B319FC">
      <w:pPr>
        <w:autoSpaceDE w:val="0"/>
        <w:autoSpaceDN w:val="0"/>
        <w:adjustRightInd w:val="0"/>
        <w:rPr>
          <w:rFonts w:ascii="Century Gothic" w:hAnsi="Century Gothic"/>
          <w:bCs/>
        </w:rPr>
      </w:pPr>
    </w:p>
    <w:p w14:paraId="229C9B15" w14:textId="77777777" w:rsidR="00B319FC" w:rsidRPr="00F2328A" w:rsidRDefault="00B319FC" w:rsidP="00B31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/>
          <w:bCs/>
        </w:rPr>
      </w:pPr>
      <w:r w:rsidRPr="00F2328A">
        <w:rPr>
          <w:rFonts w:ascii="Century Gothic" w:hAnsi="Century Gothic"/>
          <w:bCs/>
          <w:i/>
        </w:rPr>
        <w:t>Directions</w:t>
      </w:r>
      <w:r w:rsidRPr="00F2328A">
        <w:rPr>
          <w:rFonts w:ascii="Century Gothic" w:hAnsi="Century Gothic"/>
          <w:bCs/>
        </w:rPr>
        <w:t xml:space="preserve">: Please answer the following questions in complete sentences using direct examples from the play. </w:t>
      </w:r>
    </w:p>
    <w:p w14:paraId="6CF62C00" w14:textId="77777777" w:rsidR="00B319FC" w:rsidRPr="00F2328A" w:rsidRDefault="00B319FC" w:rsidP="00B319FC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3B02DEC2" w14:textId="77777777" w:rsidR="00B319FC" w:rsidRPr="00F2328A" w:rsidRDefault="00B319FC" w:rsidP="00B319FC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F2328A">
        <w:rPr>
          <w:rFonts w:ascii="Century Gothic" w:hAnsi="Century Gothic"/>
          <w:b/>
        </w:rPr>
        <w:t>Vocabulary</w:t>
      </w:r>
    </w:p>
    <w:p w14:paraId="5CAD1E9F" w14:textId="77777777" w:rsid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  <w:sectPr w:rsidR="00B319FC" w:rsidSect="00B319F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287B89" w14:textId="7AC8463B" w:rsidR="00B319FC" w:rsidRPr="00B319FC" w:rsidRDefault="00B319FC" w:rsidP="00B319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lastRenderedPageBreak/>
        <w:t>hung</w:t>
      </w:r>
      <w:proofErr w:type="gramEnd"/>
      <w:r w:rsidRPr="00B319FC">
        <w:rPr>
          <w:rFonts w:ascii="Century Gothic" w:hAnsi="Century Gothic"/>
          <w:b/>
          <w:bCs/>
          <w:sz w:val="20"/>
          <w:szCs w:val="20"/>
        </w:rPr>
        <w:t xml:space="preserve"> jury</w:t>
      </w:r>
      <w:r w:rsidRPr="00B319FC">
        <w:rPr>
          <w:rFonts w:ascii="Century Gothic" w:hAnsi="Century Gothic"/>
          <w:i/>
          <w:iCs/>
          <w:sz w:val="20"/>
          <w:szCs w:val="20"/>
        </w:rPr>
        <w:t>—</w:t>
      </w:r>
      <w:r w:rsidRPr="00B319FC">
        <w:rPr>
          <w:rFonts w:ascii="Century Gothic" w:hAnsi="Century Gothic"/>
          <w:sz w:val="20"/>
          <w:szCs w:val="20"/>
        </w:rPr>
        <w:t>a jury which cannot reach a unanimous verdict; even an eleven to one vote results in a hung jury</w:t>
      </w:r>
    </w:p>
    <w:p w14:paraId="4418266A" w14:textId="77777777" w:rsidR="00B319FC" w:rsidRP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t>tenement</w:t>
      </w:r>
      <w:proofErr w:type="gramEnd"/>
      <w:r w:rsidRPr="00B319FC">
        <w:rPr>
          <w:rFonts w:ascii="Century Gothic" w:hAnsi="Century Gothic"/>
          <w:sz w:val="20"/>
          <w:szCs w:val="20"/>
        </w:rPr>
        <w:t xml:space="preserve">—a large apartment building offering only the basics, usually located in an urban setting </w:t>
      </w:r>
    </w:p>
    <w:p w14:paraId="6D867CDB" w14:textId="77777777" w:rsidR="00B319FC" w:rsidRP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t>reflectively</w:t>
      </w:r>
      <w:proofErr w:type="gramEnd"/>
      <w:r w:rsidRPr="00B319F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19FC">
        <w:rPr>
          <w:rFonts w:ascii="Century Gothic" w:hAnsi="Century Gothic"/>
          <w:sz w:val="20"/>
          <w:szCs w:val="20"/>
        </w:rPr>
        <w:t>– with insight and deep thought</w:t>
      </w:r>
    </w:p>
    <w:p w14:paraId="5B70E148" w14:textId="77777777" w:rsidR="00B319FC" w:rsidRP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lastRenderedPageBreak/>
        <w:t>writhing</w:t>
      </w:r>
      <w:proofErr w:type="gramEnd"/>
      <w:r w:rsidRPr="00B319F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19FC">
        <w:rPr>
          <w:rFonts w:ascii="Century Gothic" w:hAnsi="Century Gothic"/>
          <w:sz w:val="20"/>
          <w:szCs w:val="20"/>
        </w:rPr>
        <w:t>– squirming, moving in twisting movements</w:t>
      </w:r>
    </w:p>
    <w:p w14:paraId="147F6D96" w14:textId="77777777" w:rsidR="00B319FC" w:rsidRP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t>conceivable</w:t>
      </w:r>
      <w:proofErr w:type="gramEnd"/>
      <w:r w:rsidRPr="00B319F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19FC">
        <w:rPr>
          <w:rFonts w:ascii="Century Gothic" w:hAnsi="Century Gothic"/>
          <w:sz w:val="20"/>
          <w:szCs w:val="20"/>
        </w:rPr>
        <w:t>– able to be pictured mentally and believed</w:t>
      </w:r>
    </w:p>
    <w:p w14:paraId="779BD294" w14:textId="77777777" w:rsidR="00B319FC" w:rsidRPr="00B319FC" w:rsidRDefault="00B319FC" w:rsidP="00B319FC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B319FC">
        <w:rPr>
          <w:rFonts w:ascii="Century Gothic" w:hAnsi="Century Gothic"/>
          <w:b/>
          <w:bCs/>
          <w:sz w:val="20"/>
          <w:szCs w:val="20"/>
        </w:rPr>
        <w:t>intimidate</w:t>
      </w:r>
      <w:proofErr w:type="gramEnd"/>
      <w:r w:rsidRPr="00B319F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19FC">
        <w:rPr>
          <w:rFonts w:ascii="Century Gothic" w:hAnsi="Century Gothic"/>
          <w:sz w:val="20"/>
          <w:szCs w:val="20"/>
        </w:rPr>
        <w:t>– threaten, frighten into submission</w:t>
      </w:r>
    </w:p>
    <w:p w14:paraId="6079129F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</w:rPr>
        <w:sectPr w:rsidR="00B319FC" w:rsidSect="00B319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EA75B9" w14:textId="13AC7C34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==========================================================================</w:t>
      </w:r>
    </w:p>
    <w:p w14:paraId="65B60A0D" w14:textId="16753567" w:rsidR="00B319FC" w:rsidRPr="00B319FC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E7DAC" wp14:editId="3B9A83D3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0" cy="6057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7.95pt" to="279pt,4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J0VbkBAADDAwAADgAAAGRycy9lMm9Eb2MueG1srFPBjtMwEL0j8Q+W7zRppS4QNd1DV3BBULHw&#10;AV5n3FiyPdbYNO3fM3bbLAKklRAXx2PPezPvebK5P3knjkDJYujlctFKAUHjYMOhl9+/fXjzT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2E0A306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  <w:sectPr w:rsidR="00B319FC" w:rsidSect="00B319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692F83" w14:textId="5050B29A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lastRenderedPageBreak/>
        <w:t xml:space="preserve">Act III starts with a vote.  Now where do the men stand?  </w:t>
      </w:r>
    </w:p>
    <w:p w14:paraId="5BE08B66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D8314E0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8C495D0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0B2FAB8" w14:textId="376CFEA9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In the opening of Act III, Juror Eleven praises the fact that people can hold unpopular opinions in this country. He continues speaking about democracy. Why does Reginald Rose</w:t>
      </w:r>
      <w:r>
        <w:rPr>
          <w:rFonts w:ascii="Century Gothic" w:hAnsi="Century Gothic"/>
          <w:sz w:val="22"/>
          <w:szCs w:val="22"/>
        </w:rPr>
        <w:t>, the author,</w:t>
      </w:r>
      <w:r w:rsidRPr="00B319FC">
        <w:rPr>
          <w:rFonts w:ascii="Century Gothic" w:hAnsi="Century Gothic"/>
          <w:sz w:val="22"/>
          <w:szCs w:val="22"/>
        </w:rPr>
        <w:t xml:space="preserve"> give him these lines?</w:t>
      </w:r>
    </w:p>
    <w:p w14:paraId="108738F2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EA04A4C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0E11EF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4F09CB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13795D3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C7B9AC4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B18D582" w14:textId="6AC0B10A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is</w:t>
      </w:r>
      <w:r>
        <w:rPr>
          <w:rFonts w:ascii="Century Gothic" w:hAnsi="Century Gothic"/>
          <w:sz w:val="22"/>
          <w:szCs w:val="22"/>
        </w:rPr>
        <w:t xml:space="preserve"> the problem with declaring</w:t>
      </w:r>
      <w:r w:rsidRPr="00B319FC">
        <w:rPr>
          <w:rFonts w:ascii="Century Gothic" w:hAnsi="Century Gothic"/>
          <w:sz w:val="22"/>
          <w:szCs w:val="22"/>
        </w:rPr>
        <w:t xml:space="preserve"> a “hung jury”?  Explain this.</w:t>
      </w:r>
    </w:p>
    <w:p w14:paraId="7D494DBD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B725D94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D54CEEE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D7CDBD9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0385741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92B2449" w14:textId="77777777" w:rsidR="00B319FC" w:rsidRDefault="00B319FC" w:rsidP="00B319FC">
      <w:pPr>
        <w:pStyle w:val="normal0"/>
        <w:widowControl w:val="0"/>
        <w:numPr>
          <w:ilvl w:val="0"/>
          <w:numId w:val="4"/>
        </w:numPr>
        <w:rPr>
          <w:rFonts w:ascii="Century Gothic" w:hAnsi="Century Gothic"/>
        </w:rPr>
      </w:pPr>
      <w:r w:rsidRPr="00B319FC">
        <w:rPr>
          <w:rFonts w:ascii="Century Gothic" w:hAnsi="Century Gothic"/>
        </w:rPr>
        <w:t>In the beginning of Act III, they examine more of the old man’s testimony about seeing the boy flee the scene.  What faults do they find with it?</w:t>
      </w:r>
    </w:p>
    <w:p w14:paraId="39937BCB" w14:textId="77777777" w:rsidR="00B319FC" w:rsidRDefault="00B319FC" w:rsidP="00B319FC">
      <w:pPr>
        <w:pStyle w:val="normal0"/>
        <w:widowControl w:val="0"/>
        <w:rPr>
          <w:rFonts w:ascii="Century Gothic" w:hAnsi="Century Gothic"/>
        </w:rPr>
      </w:pPr>
    </w:p>
    <w:p w14:paraId="6A00F3FC" w14:textId="77777777" w:rsidR="00B319FC" w:rsidRDefault="00B319FC" w:rsidP="00B319FC">
      <w:pPr>
        <w:pStyle w:val="normal0"/>
        <w:widowControl w:val="0"/>
        <w:rPr>
          <w:rFonts w:ascii="Century Gothic" w:hAnsi="Century Gothic"/>
        </w:rPr>
      </w:pPr>
    </w:p>
    <w:p w14:paraId="419CF133" w14:textId="77777777" w:rsidR="00B319FC" w:rsidRDefault="00B319FC" w:rsidP="00B319FC">
      <w:pPr>
        <w:pStyle w:val="normal0"/>
        <w:widowControl w:val="0"/>
        <w:rPr>
          <w:rFonts w:ascii="Century Gothic" w:hAnsi="Century Gothic"/>
        </w:rPr>
      </w:pPr>
    </w:p>
    <w:p w14:paraId="3CDE0586" w14:textId="77777777" w:rsidR="00B319FC" w:rsidRPr="00B319FC" w:rsidRDefault="00B319FC" w:rsidP="00B319FC">
      <w:pPr>
        <w:pStyle w:val="normal0"/>
        <w:widowControl w:val="0"/>
        <w:rPr>
          <w:rFonts w:ascii="Century Gothic" w:hAnsi="Century Gothic"/>
        </w:rPr>
      </w:pPr>
    </w:p>
    <w:p w14:paraId="071C0972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lastRenderedPageBreak/>
        <w:t>Describe their efforts to examine this element.</w:t>
      </w:r>
    </w:p>
    <w:p w14:paraId="2C86B0E9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63D9C35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034CBA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BEA764C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CC90ABD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ADD94A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375C38C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49E749F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BE26E1E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What </w:t>
      </w:r>
      <w:proofErr w:type="gramStart"/>
      <w:r w:rsidRPr="00B319FC">
        <w:rPr>
          <w:rFonts w:ascii="Century Gothic" w:hAnsi="Century Gothic"/>
          <w:sz w:val="22"/>
          <w:szCs w:val="22"/>
        </w:rPr>
        <w:t>does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Three do to Eight in the beginning of Act III that causes the others to cry, “Look out!” </w:t>
      </w:r>
    </w:p>
    <w:p w14:paraId="41DB647E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8AB0FEA" w14:textId="77777777" w:rsidR="00B319FC" w:rsidRDefault="00B319FC" w:rsidP="00B319F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516FC41B" w14:textId="77777777" w:rsidR="00B319FC" w:rsidRDefault="00B319FC" w:rsidP="00B319F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758E4B30" w14:textId="77777777" w:rsidR="00B319FC" w:rsidRDefault="00B319FC" w:rsidP="00B319F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6EE75FB4" w14:textId="77777777" w:rsidR="00B319FC" w:rsidRDefault="00B319FC" w:rsidP="00B319F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3D4F728E" w14:textId="77777777" w:rsidR="00B319FC" w:rsidRDefault="00B319FC" w:rsidP="00B319FC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p w14:paraId="0C781B61" w14:textId="78A7364F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How is this also an example of irony?</w:t>
      </w:r>
    </w:p>
    <w:p w14:paraId="0DECC9A9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0012053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41F860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7C328DC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6BF05A5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9487602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BE3E4A6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did Juror Four do that keeps the group from being a hung jury?</w:t>
      </w:r>
    </w:p>
    <w:p w14:paraId="67DBBFA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AA33605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25C050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F38D12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1BBA9B2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769C8CF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D5CCD16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0C77771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Juror Eleven makes a suggestion that one of the others does not understand “reasonable doubt.” To whom is he directing his remark, and why is the other juror angry?</w:t>
      </w:r>
    </w:p>
    <w:p w14:paraId="54FE39C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3C22EC9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B898F3D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748F62B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518B5C0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0015067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766E77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E83963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C6A9DDB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Next the jurors examine the stabbing itself.  What questions do they wish to clarify here?  How do they go about this? </w:t>
      </w:r>
    </w:p>
    <w:p w14:paraId="3378860D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1BB6AC1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DFB3345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8EAD102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36105C7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C278B25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411DAD7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0411FC3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Why </w:t>
      </w:r>
      <w:proofErr w:type="gramStart"/>
      <w:r w:rsidRPr="00B319FC">
        <w:rPr>
          <w:rFonts w:ascii="Century Gothic" w:hAnsi="Century Gothic"/>
          <w:sz w:val="22"/>
          <w:szCs w:val="22"/>
        </w:rPr>
        <w:t>is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Five convinced that the boy did not stab his father? </w:t>
      </w:r>
    </w:p>
    <w:p w14:paraId="2A2E6FBE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28190BB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F9A456D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1D9E541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C664B39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B60C7BD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E4BFCE2" w14:textId="7D6C4CC2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What makes </w:t>
      </w:r>
      <w:proofErr w:type="gramStart"/>
      <w:r w:rsidRPr="00B319FC">
        <w:rPr>
          <w:rFonts w:ascii="Century Gothic" w:hAnsi="Century Gothic"/>
          <w:sz w:val="22"/>
          <w:szCs w:val="22"/>
        </w:rPr>
        <w:t>Five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an authority?</w:t>
      </w:r>
    </w:p>
    <w:p w14:paraId="5C05401F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079D32E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CA77775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CE0A9AC" w14:textId="77777777" w:rsidR="00DA0DC6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F9EA4FC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42C3D86" w14:textId="77777777" w:rsidR="00B319FC" w:rsidRP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91ABA94" w14:textId="539EC279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After the discussion about the stabbing, the jurors vote again.  What’s the count this time?  </w:t>
      </w:r>
    </w:p>
    <w:p w14:paraId="44315519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39A889C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0C1F30E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B961FA0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F3CE12E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D977135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9481829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DD3D155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2128E10" w14:textId="62BA1E96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4F17" wp14:editId="482CD1E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0" cy="8572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55pt" to="-8.95pt,6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Mbb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A778B0F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In the scene where </w:t>
      </w:r>
      <w:proofErr w:type="gramStart"/>
      <w:r w:rsidRPr="00B319FC">
        <w:rPr>
          <w:rFonts w:ascii="Century Gothic" w:hAnsi="Century Gothic"/>
          <w:sz w:val="22"/>
          <w:szCs w:val="22"/>
        </w:rPr>
        <w:t>Ten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starts talking about “those people,” why do the other jurors get up from the table?</w:t>
      </w:r>
    </w:p>
    <w:p w14:paraId="671E95BD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B6364F4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264FE49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5DEF3BD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53992AC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CBC915E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F24B0B1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comments does Juror Eight make that seem to settle the argument about “doubt”?</w:t>
      </w:r>
    </w:p>
    <w:p w14:paraId="4D9B5E27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921CEE3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10AD186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714F393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9D10579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2CBE035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C77CE91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B3C66B1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To </w:t>
      </w:r>
      <w:proofErr w:type="gramStart"/>
      <w:r w:rsidRPr="00B319FC">
        <w:rPr>
          <w:rFonts w:ascii="Century Gothic" w:hAnsi="Century Gothic"/>
          <w:sz w:val="22"/>
          <w:szCs w:val="22"/>
        </w:rPr>
        <w:t>Four</w:t>
      </w:r>
      <w:proofErr w:type="gramEnd"/>
      <w:r w:rsidRPr="00B319FC">
        <w:rPr>
          <w:rFonts w:ascii="Century Gothic" w:hAnsi="Century Gothic"/>
          <w:sz w:val="22"/>
          <w:szCs w:val="22"/>
        </w:rPr>
        <w:t>, what is the most convincing evidence that the boy is guilty?</w:t>
      </w:r>
    </w:p>
    <w:p w14:paraId="573C8238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77C16BA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E80C01A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BA36954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75C8A2A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3FA560A" w14:textId="25C390F4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Explain what troubles the jurors as they examine the old woman’s testimony.</w:t>
      </w:r>
    </w:p>
    <w:p w14:paraId="4C5679D0" w14:textId="77777777" w:rsidR="00DA0DC6" w:rsidRDefault="00DA0DC6" w:rsidP="00DA0DC6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C8C0EA2" w14:textId="77777777" w:rsidR="00DA0DC6" w:rsidRDefault="00DA0DC6" w:rsidP="00DA0DC6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41A302D" w14:textId="77777777" w:rsidR="00DA0DC6" w:rsidRDefault="00DA0DC6" w:rsidP="00DA0DC6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BB6E139" w14:textId="77777777" w:rsidR="00DA0DC6" w:rsidRDefault="00DA0DC6" w:rsidP="00DA0DC6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1EB2E5C" w14:textId="77777777" w:rsidR="00DA0DC6" w:rsidRPr="00B319FC" w:rsidRDefault="00DA0DC6" w:rsidP="00DA0DC6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42D55B5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is brought up to refute the woman’s claim that she saw the boy kill his father?</w:t>
      </w:r>
    </w:p>
    <w:p w14:paraId="1A3DE28A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65E536A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BB2FB1A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C57D602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70CA3BE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3287D2E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3573EA1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piece of stage business forces the jurors to think about the woman and her glasses?</w:t>
      </w:r>
    </w:p>
    <w:p w14:paraId="550A7610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D6019E9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0B9E219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623849E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AF27CE7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3AE6B55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ACEA7CF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Why </w:t>
      </w:r>
      <w:proofErr w:type="gramStart"/>
      <w:r w:rsidRPr="00B319FC">
        <w:rPr>
          <w:rFonts w:ascii="Century Gothic" w:hAnsi="Century Gothic"/>
          <w:sz w:val="22"/>
          <w:szCs w:val="22"/>
        </w:rPr>
        <w:t>does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Four change his vote to not guilty?</w:t>
      </w:r>
    </w:p>
    <w:p w14:paraId="25087177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558654F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B3361D6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D3D3C4A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FF59DB9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CB0A497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is the dramatic climax of this act?</w:t>
      </w:r>
    </w:p>
    <w:p w14:paraId="1F0906EF" w14:textId="77777777" w:rsidR="00B319FC" w:rsidRDefault="00B319FC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13EABF1" w14:textId="77777777" w:rsidR="00DA0DC6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C56F3D8" w14:textId="77777777" w:rsidR="00DA0DC6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ED5A79F" w14:textId="77777777" w:rsidR="00DA0DC6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58C45DE" w14:textId="77777777" w:rsidR="00DA0DC6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1613DF4" w14:textId="77777777" w:rsidR="00DA0DC6" w:rsidRPr="00B319FC" w:rsidRDefault="00DA0DC6" w:rsidP="00B319F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E5A071C" w14:textId="1ECFA566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Who is the last juror to wish to vote guilty?  What changes his mind?</w:t>
      </w:r>
    </w:p>
    <w:p w14:paraId="0A926720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E39B07D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6349488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A331F8B" w14:textId="77777777" w:rsidR="00DA0DC6" w:rsidRPr="00B319FC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FA6FB4A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40315D6" w14:textId="77777777" w:rsidR="00B319FC" w:rsidRP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5695EF4" w14:textId="77777777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Did </w:t>
      </w:r>
      <w:proofErr w:type="gramStart"/>
      <w:r w:rsidRPr="00B319FC">
        <w:rPr>
          <w:rFonts w:ascii="Century Gothic" w:hAnsi="Century Gothic"/>
          <w:sz w:val="22"/>
          <w:szCs w:val="22"/>
        </w:rPr>
        <w:t>Three</w:t>
      </w:r>
      <w:proofErr w:type="gramEnd"/>
      <w:r w:rsidRPr="00B319FC">
        <w:rPr>
          <w:rFonts w:ascii="Century Gothic" w:hAnsi="Century Gothic"/>
          <w:sz w:val="22"/>
          <w:szCs w:val="22"/>
        </w:rPr>
        <w:t xml:space="preserve"> finally believe the boy was not guilty, or did he vote just to get it over with? Support your answer.</w:t>
      </w:r>
    </w:p>
    <w:p w14:paraId="366C7090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64DCDD1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1DDBF37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8FDA515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5B32239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0D3A22C" w14:textId="77777777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9270772" w14:textId="77777777" w:rsidR="00B319FC" w:rsidRDefault="00B319FC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6E25C04" w14:textId="77777777" w:rsidR="00DA0DC6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4F0E535" w14:textId="137DEB33" w:rsidR="00DA0DC6" w:rsidRPr="00B319FC" w:rsidRDefault="00DA0DC6" w:rsidP="00B319FC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CFF4" wp14:editId="29505E8C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0" cy="6057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55pt" to="-8.95pt,48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9559706" w14:textId="77777777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What is the major theme of this play? </w:t>
      </w:r>
    </w:p>
    <w:p w14:paraId="3434A778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3097A5D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DA81E78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5A5D5E2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2012B02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1C855E9" w14:textId="77777777" w:rsidR="00DA0DC6" w:rsidRPr="00B319FC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2EAAD97" w14:textId="00EA5559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>What do you think about the verdict?  Explain.</w:t>
      </w:r>
    </w:p>
    <w:p w14:paraId="3D949F58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9B1B954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21F9480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090A2D5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7C37EEE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1E927C2" w14:textId="77777777" w:rsidR="00DA0DC6" w:rsidRPr="00B319FC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8D8EEA1" w14:textId="06613DFD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Why do you think Juror 8 is so determined not to have a hung jury?  Explain. </w:t>
      </w:r>
    </w:p>
    <w:p w14:paraId="28A71944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810CBD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AD269A1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52B1D75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215CE6B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9CD28F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046A32D" w14:textId="77777777" w:rsidR="00DA0DC6" w:rsidRPr="00B319FC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5477246" w14:textId="16DEB8D8" w:rsid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Which juror was the most objective?  Give examples of his objectivity. </w:t>
      </w:r>
    </w:p>
    <w:p w14:paraId="00EEA621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E67FCFA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60FD7A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1E923E2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8128AE3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A6714FD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EC2CE5F" w14:textId="77777777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  <w:sectPr w:rsidR="00DA0DC6" w:rsidSect="00B319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9CDE51" w14:textId="646701F4" w:rsidR="00DA0DC6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00989F1" w14:textId="77777777" w:rsidR="00DA0DC6" w:rsidRPr="00B319FC" w:rsidRDefault="00DA0DC6" w:rsidP="00DA0DC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0645046" w14:textId="02E2B71E" w:rsidR="00B319FC" w:rsidRPr="00B319FC" w:rsidRDefault="00B319FC" w:rsidP="00B319F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19FC">
        <w:rPr>
          <w:rFonts w:ascii="Century Gothic" w:hAnsi="Century Gothic"/>
          <w:sz w:val="22"/>
          <w:szCs w:val="22"/>
        </w:rPr>
        <w:t xml:space="preserve">Towards the end, jurors 3, 4, and 10 are the only ones voting guilty.  Compare and contrast their personalities and motives. </w:t>
      </w:r>
    </w:p>
    <w:p w14:paraId="71742A49" w14:textId="77777777" w:rsidR="00B319FC" w:rsidRDefault="00B319FC" w:rsidP="00B319FC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B319FC" w:rsidRPr="00B319FC" w14:paraId="7FD806DD" w14:textId="77777777" w:rsidTr="00DA0DC6">
        <w:tc>
          <w:tcPr>
            <w:tcW w:w="3552" w:type="dxa"/>
          </w:tcPr>
          <w:p w14:paraId="2C04A79C" w14:textId="3EDAF84B" w:rsidR="00B319FC" w:rsidRPr="00B319FC" w:rsidRDefault="00B319FC" w:rsidP="00B319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9FC">
              <w:rPr>
                <w:rFonts w:ascii="Century Gothic" w:hAnsi="Century Gothic"/>
                <w:b/>
                <w:sz w:val="22"/>
                <w:szCs w:val="22"/>
              </w:rPr>
              <w:t>Juror 3</w:t>
            </w:r>
          </w:p>
        </w:tc>
        <w:tc>
          <w:tcPr>
            <w:tcW w:w="3552" w:type="dxa"/>
          </w:tcPr>
          <w:p w14:paraId="499EE1FD" w14:textId="5F4926A9" w:rsidR="00B319FC" w:rsidRPr="00B319FC" w:rsidRDefault="00B319FC" w:rsidP="00B319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9FC">
              <w:rPr>
                <w:rFonts w:ascii="Century Gothic" w:hAnsi="Century Gothic"/>
                <w:b/>
                <w:sz w:val="22"/>
                <w:szCs w:val="22"/>
              </w:rPr>
              <w:t>Juror 4</w:t>
            </w:r>
          </w:p>
        </w:tc>
        <w:tc>
          <w:tcPr>
            <w:tcW w:w="3552" w:type="dxa"/>
          </w:tcPr>
          <w:p w14:paraId="6F508A56" w14:textId="2027009B" w:rsidR="00B319FC" w:rsidRPr="00B319FC" w:rsidRDefault="00B319FC" w:rsidP="00B319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9FC">
              <w:rPr>
                <w:rFonts w:ascii="Century Gothic" w:hAnsi="Century Gothic"/>
                <w:b/>
                <w:sz w:val="22"/>
                <w:szCs w:val="22"/>
              </w:rPr>
              <w:t>Juror 10</w:t>
            </w:r>
          </w:p>
        </w:tc>
      </w:tr>
      <w:tr w:rsidR="00B319FC" w:rsidRPr="00B319FC" w14:paraId="73F0A513" w14:textId="77777777" w:rsidTr="00DA0DC6">
        <w:tc>
          <w:tcPr>
            <w:tcW w:w="3552" w:type="dxa"/>
          </w:tcPr>
          <w:p w14:paraId="790C9849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>Personality:</w:t>
            </w:r>
          </w:p>
          <w:p w14:paraId="733B2246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3E9EDE14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5B5931E4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1D8C55C8" w14:textId="134EF162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2" w:type="dxa"/>
          </w:tcPr>
          <w:p w14:paraId="2BC3991F" w14:textId="47857F71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 xml:space="preserve">Personality: </w:t>
            </w:r>
          </w:p>
        </w:tc>
        <w:tc>
          <w:tcPr>
            <w:tcW w:w="3552" w:type="dxa"/>
          </w:tcPr>
          <w:p w14:paraId="09D60E56" w14:textId="6ED83F98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>Personality:</w:t>
            </w:r>
          </w:p>
        </w:tc>
      </w:tr>
      <w:tr w:rsidR="00B319FC" w:rsidRPr="00B319FC" w14:paraId="2C3C6927" w14:textId="77777777" w:rsidTr="00DA0DC6">
        <w:tc>
          <w:tcPr>
            <w:tcW w:w="3552" w:type="dxa"/>
          </w:tcPr>
          <w:p w14:paraId="6FBA6879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>Motive:</w:t>
            </w:r>
          </w:p>
          <w:p w14:paraId="5D46E789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042D5D19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07DBDF4F" w14:textId="77777777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71F9ADB4" w14:textId="568F037C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2" w:type="dxa"/>
          </w:tcPr>
          <w:p w14:paraId="1289D07F" w14:textId="6776F242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>Motive:</w:t>
            </w:r>
          </w:p>
        </w:tc>
        <w:tc>
          <w:tcPr>
            <w:tcW w:w="3552" w:type="dxa"/>
          </w:tcPr>
          <w:p w14:paraId="4C106696" w14:textId="5938B082" w:rsidR="00B319FC" w:rsidRPr="00B319FC" w:rsidRDefault="00B319FC" w:rsidP="00B319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B319FC">
              <w:rPr>
                <w:rFonts w:ascii="Century Gothic" w:hAnsi="Century Gothic"/>
                <w:sz w:val="22"/>
                <w:szCs w:val="22"/>
              </w:rPr>
              <w:t>Motive;</w:t>
            </w:r>
          </w:p>
        </w:tc>
      </w:tr>
    </w:tbl>
    <w:p w14:paraId="4E97B3E4" w14:textId="77777777" w:rsidR="00B319FC" w:rsidRPr="00B319FC" w:rsidRDefault="00B319FC" w:rsidP="00DA0DC6">
      <w:p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</w:p>
    <w:sectPr w:rsidR="00B319FC" w:rsidRPr="00B319FC" w:rsidSect="00DA0D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B3FF" w14:textId="77777777" w:rsidR="00B319FC" w:rsidRDefault="00B319FC" w:rsidP="000A0AB2">
      <w:r>
        <w:separator/>
      </w:r>
    </w:p>
  </w:endnote>
  <w:endnote w:type="continuationSeparator" w:id="0">
    <w:p w14:paraId="576AF3A1" w14:textId="77777777" w:rsidR="00B319FC" w:rsidRDefault="00B319FC" w:rsidP="000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69A0" w14:textId="77777777" w:rsidR="00B319FC" w:rsidRDefault="00B319FC" w:rsidP="000A0AB2">
      <w:r>
        <w:separator/>
      </w:r>
    </w:p>
  </w:footnote>
  <w:footnote w:type="continuationSeparator" w:id="0">
    <w:p w14:paraId="398E53F1" w14:textId="77777777" w:rsidR="00B319FC" w:rsidRDefault="00B319FC" w:rsidP="000A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F179" w14:textId="77777777" w:rsidR="00B319FC" w:rsidRDefault="00B319FC">
    <w:pPr>
      <w:pStyle w:val="Header"/>
      <w:rPr>
        <w:rFonts w:ascii="Century Gothic" w:hAnsi="Century Gothic"/>
      </w:rPr>
    </w:pPr>
    <w:r w:rsidRPr="000A0AB2">
      <w:rPr>
        <w:rFonts w:ascii="Century Gothic" w:hAnsi="Century Gothic"/>
      </w:rPr>
      <w:t>Sophomore English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Name: _____________________________________________</w:t>
    </w:r>
  </w:p>
  <w:p w14:paraId="7B269036" w14:textId="77777777" w:rsidR="00B319FC" w:rsidRPr="000A0AB2" w:rsidRDefault="00B319FC">
    <w:pPr>
      <w:pStyle w:val="Header"/>
      <w:rPr>
        <w:rFonts w:ascii="Century Gothic" w:hAnsi="Century Gothic"/>
      </w:rPr>
    </w:pPr>
    <w:proofErr w:type="spellStart"/>
    <w:r>
      <w:rPr>
        <w:rFonts w:ascii="Century Gothic" w:hAnsi="Century Gothic"/>
      </w:rPr>
      <w:t>Nicolia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043"/>
    <w:multiLevelType w:val="hybridMultilevel"/>
    <w:tmpl w:val="982C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BE7"/>
    <w:multiLevelType w:val="hybridMultilevel"/>
    <w:tmpl w:val="4440AF38"/>
    <w:lvl w:ilvl="0" w:tplc="8EEC87EC">
      <w:start w:val="1"/>
      <w:numFmt w:val="lowerLetter"/>
      <w:lvlText w:val="%1."/>
      <w:lvlJc w:val="left"/>
      <w:pPr>
        <w:ind w:left="720" w:hanging="360"/>
      </w:pPr>
      <w:rPr>
        <w:rFonts w:ascii="Century Gothic" w:eastAsia="MS Mincho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0E46"/>
    <w:multiLevelType w:val="hybridMultilevel"/>
    <w:tmpl w:val="589A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7A35"/>
    <w:multiLevelType w:val="hybridMultilevel"/>
    <w:tmpl w:val="E0745AB0"/>
    <w:lvl w:ilvl="0" w:tplc="71B49564">
      <w:start w:val="1"/>
      <w:numFmt w:val="lowerLetter"/>
      <w:lvlText w:val="%1."/>
      <w:lvlJc w:val="left"/>
      <w:pPr>
        <w:ind w:left="720" w:hanging="360"/>
      </w:pPr>
      <w:rPr>
        <w:rFonts w:ascii="Century Gothic" w:eastAsia="MS Mincho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2"/>
    <w:rsid w:val="000A0AB2"/>
    <w:rsid w:val="000A1777"/>
    <w:rsid w:val="002A7E82"/>
    <w:rsid w:val="00B319FC"/>
    <w:rsid w:val="00DA0DC6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DC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0A0AB2"/>
    <w:pPr>
      <w:ind w:left="720"/>
      <w:contextualSpacing/>
    </w:pPr>
  </w:style>
  <w:style w:type="paragraph" w:customStyle="1" w:styleId="normal0">
    <w:name w:val="normal"/>
    <w:rsid w:val="00B319F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3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0A0AB2"/>
    <w:pPr>
      <w:ind w:left="720"/>
      <w:contextualSpacing/>
    </w:pPr>
  </w:style>
  <w:style w:type="paragraph" w:customStyle="1" w:styleId="normal0">
    <w:name w:val="normal"/>
    <w:rsid w:val="00B319F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3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2016-02-24T21:10:00Z</dcterms:created>
  <dcterms:modified xsi:type="dcterms:W3CDTF">2016-02-24T21:10:00Z</dcterms:modified>
</cp:coreProperties>
</file>